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2D8291E0"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607086">
        <w:rPr>
          <w:rFonts w:ascii="Times New Roman" w:eastAsia="Times New Roman" w:hAnsi="Times New Roman" w:cs="Times New Roman"/>
          <w:sz w:val="24"/>
          <w:szCs w:val="24"/>
        </w:rPr>
        <w:t>Forrest Smith</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3B1322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xml:space="preserve"> </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044D27E3"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9D31F7">
        <w:rPr>
          <w:rFonts w:ascii="Times New Roman" w:eastAsia="Times New Roman" w:hAnsi="Times New Roman" w:cs="Times New Roman"/>
          <w:sz w:val="24"/>
          <w:szCs w:val="24"/>
        </w:rPr>
        <w:t>April 21</w:t>
      </w:r>
      <w:r w:rsidR="0097717E" w:rsidRPr="003E3FA5">
        <w:rPr>
          <w:rFonts w:ascii="Times New Roman" w:eastAsia="Times New Roman" w:hAnsi="Times New Roman" w:cs="Times New Roman"/>
          <w:sz w:val="24"/>
          <w:szCs w:val="24"/>
        </w:rPr>
        <w:t>, 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32BB6FE8" w:rsidR="003E3FA5" w:rsidRPr="003E3FA5" w:rsidRDefault="003E3FA5" w:rsidP="00607086">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607086" w:rsidRPr="00147CE5">
        <w:rPr>
          <w:rFonts w:ascii="Times New Roman" w:eastAsia="Times New Roman" w:hAnsi="Times New Roman" w:cs="Times New Roman"/>
          <w:bCs/>
          <w:sz w:val="24"/>
          <w:szCs w:val="24"/>
        </w:rPr>
        <w:t xml:space="preserve">Docket No. </w:t>
      </w:r>
      <w:r w:rsidR="000704E9">
        <w:rPr>
          <w:rFonts w:ascii="Times New Roman" w:eastAsia="Times New Roman" w:hAnsi="Times New Roman" w:cs="Times New Roman"/>
          <w:bCs/>
          <w:iCs/>
          <w:sz w:val="24"/>
          <w:szCs w:val="24"/>
        </w:rPr>
        <w:t>53630</w:t>
      </w:r>
      <w:r w:rsidR="00607086" w:rsidRPr="00147CE5">
        <w:rPr>
          <w:rFonts w:ascii="Times New Roman" w:eastAsia="Times New Roman" w:hAnsi="Times New Roman" w:cs="Times New Roman"/>
          <w:bCs/>
          <w:i/>
          <w:iCs/>
          <w:sz w:val="24"/>
          <w:szCs w:val="24"/>
        </w:rPr>
        <w:t xml:space="preserve"> – </w:t>
      </w:r>
      <w:bookmarkEnd w:id="0"/>
      <w:r w:rsidR="00607086" w:rsidRPr="00147CE5">
        <w:rPr>
          <w:rFonts w:ascii="Times New Roman" w:eastAsia="Times New Roman" w:hAnsi="Times New Roman" w:cs="Times New Roman"/>
          <w:bCs/>
          <w:i/>
          <w:iCs/>
          <w:sz w:val="24"/>
          <w:szCs w:val="24"/>
        </w:rPr>
        <w:t>Application of</w:t>
      </w:r>
      <w:r w:rsidR="00607086">
        <w:rPr>
          <w:rFonts w:ascii="Times New Roman" w:eastAsia="Times New Roman" w:hAnsi="Times New Roman" w:cs="Times New Roman"/>
          <w:bCs/>
          <w:i/>
          <w:iCs/>
          <w:sz w:val="24"/>
          <w:szCs w:val="24"/>
        </w:rPr>
        <w:t xml:space="preserve"> Orbit Systems, Inc. and Undine Texas</w:t>
      </w:r>
      <w:r w:rsidR="00852485">
        <w:rPr>
          <w:rFonts w:ascii="Times New Roman" w:eastAsia="Times New Roman" w:hAnsi="Times New Roman" w:cs="Times New Roman"/>
          <w:bCs/>
          <w:i/>
          <w:iCs/>
          <w:sz w:val="24"/>
          <w:szCs w:val="24"/>
        </w:rPr>
        <w:t xml:space="preserve"> Environmental</w:t>
      </w:r>
      <w:r w:rsidR="00607086">
        <w:rPr>
          <w:rFonts w:ascii="Times New Roman" w:eastAsia="Times New Roman" w:hAnsi="Times New Roman" w:cs="Times New Roman"/>
          <w:bCs/>
          <w:i/>
          <w:iCs/>
          <w:sz w:val="24"/>
          <w:szCs w:val="24"/>
        </w:rPr>
        <w:t xml:space="preserve">, LLC </w:t>
      </w:r>
      <w:r w:rsidR="00607086" w:rsidRPr="00147CE5">
        <w:rPr>
          <w:rFonts w:ascii="Times New Roman" w:eastAsia="Times New Roman" w:hAnsi="Times New Roman" w:cs="Times New Roman"/>
          <w:bCs/>
          <w:i/>
          <w:iCs/>
          <w:sz w:val="24"/>
          <w:szCs w:val="24"/>
        </w:rPr>
        <w:t xml:space="preserve">for Sale, Transfer, or Merger of Facilities and Certificate Rights in </w:t>
      </w:r>
      <w:r w:rsidR="00607086">
        <w:rPr>
          <w:rFonts w:ascii="Times New Roman" w:eastAsia="Times New Roman" w:hAnsi="Times New Roman" w:cs="Times New Roman"/>
          <w:bCs/>
          <w:i/>
          <w:iCs/>
          <w:sz w:val="24"/>
          <w:szCs w:val="24"/>
        </w:rPr>
        <w:t>Brazoria County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4C475C57" w14:textId="04701D1E" w:rsidR="00B078F0" w:rsidRDefault="00B078F0" w:rsidP="00A42084">
      <w:pPr>
        <w:spacing w:after="120" w:line="360" w:lineRule="auto"/>
        <w:ind w:firstLine="720"/>
        <w:jc w:val="both"/>
        <w:rPr>
          <w:rFonts w:ascii="Times New Roman" w:eastAsia="Times New Roman" w:hAnsi="Times New Roman" w:cs="Times New Roman"/>
          <w:sz w:val="24"/>
          <w:szCs w:val="24"/>
        </w:rPr>
      </w:pPr>
      <w:r w:rsidRPr="00B078F0">
        <w:rPr>
          <w:rFonts w:ascii="Times New Roman" w:eastAsia="Times New Roman" w:hAnsi="Times New Roman" w:cs="Times New Roman"/>
          <w:sz w:val="24"/>
          <w:szCs w:val="24"/>
        </w:rPr>
        <w:t>On May 23, 2022, Undine Texas Environmental, LLC (Undine), CCN No. 20816, and Orbit Systems, Inc</w:t>
      </w:r>
      <w:r w:rsidR="00B0720B">
        <w:rPr>
          <w:rFonts w:ascii="Times New Roman" w:eastAsia="Times New Roman" w:hAnsi="Times New Roman" w:cs="Times New Roman"/>
          <w:sz w:val="24"/>
          <w:szCs w:val="24"/>
        </w:rPr>
        <w:t xml:space="preserve">. </w:t>
      </w:r>
      <w:r w:rsidRPr="00B078F0">
        <w:rPr>
          <w:rFonts w:ascii="Times New Roman" w:eastAsia="Times New Roman" w:hAnsi="Times New Roman" w:cs="Times New Roman"/>
          <w:sz w:val="24"/>
          <w:szCs w:val="24"/>
        </w:rPr>
        <w:t xml:space="preserve">filed an application for the sale and transfer of facilities and certificate rights in Brazoria County under the provisions of Texas Water Code </w:t>
      </w:r>
      <w:r w:rsidR="009D31F7">
        <w:rPr>
          <w:rFonts w:ascii="Times New Roman" w:eastAsia="Times New Roman" w:hAnsi="Times New Roman" w:cs="Times New Roman"/>
          <w:sz w:val="24"/>
          <w:szCs w:val="24"/>
        </w:rPr>
        <w:t xml:space="preserve">(TWC) </w:t>
      </w:r>
      <w:r w:rsidRPr="00B078F0">
        <w:rPr>
          <w:rFonts w:ascii="Times New Roman" w:eastAsia="Times New Roman" w:hAnsi="Times New Roman" w:cs="Times New Roman"/>
          <w:sz w:val="24"/>
          <w:szCs w:val="24"/>
        </w:rPr>
        <w:t>§ 13.301 and 16 Texas Administrative Code</w:t>
      </w:r>
      <w:r w:rsidR="009D31F7">
        <w:rPr>
          <w:rFonts w:ascii="Times New Roman" w:eastAsia="Times New Roman" w:hAnsi="Times New Roman" w:cs="Times New Roman"/>
          <w:sz w:val="24"/>
          <w:szCs w:val="24"/>
        </w:rPr>
        <w:t xml:space="preserve"> (TAC)</w:t>
      </w:r>
      <w:r w:rsidRPr="00B078F0">
        <w:rPr>
          <w:rFonts w:ascii="Times New Roman" w:eastAsia="Times New Roman" w:hAnsi="Times New Roman" w:cs="Times New Roman"/>
          <w:sz w:val="24"/>
          <w:szCs w:val="24"/>
        </w:rPr>
        <w:t xml:space="preserve"> § 24.239. </w:t>
      </w:r>
    </w:p>
    <w:p w14:paraId="41C7DCC5" w14:textId="726EAD07"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TAC § 24.11. </w:t>
      </w:r>
      <w:r w:rsidR="00607086">
        <w:rPr>
          <w:rFonts w:ascii="Times New Roman" w:eastAsia="Times New Roman" w:hAnsi="Times New Roman" w:cs="Times New Roman"/>
          <w:sz w:val="24"/>
          <w:szCs w:val="24"/>
        </w:rPr>
        <w:t>Undine</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09331005" w14:textId="77777777" w:rsidR="0097717E" w:rsidRPr="00693AC3" w:rsidRDefault="0097717E" w:rsidP="0097717E">
      <w:pPr>
        <w:spacing w:after="120" w:line="360" w:lineRule="auto"/>
        <w:jc w:val="both"/>
        <w:rPr>
          <w:rFonts w:ascii="Times New Roman" w:eastAsia="Times New Roman" w:hAnsi="Times New Roman" w:cs="Times New Roman"/>
          <w:b/>
          <w:bCs/>
          <w:sz w:val="24"/>
          <w:szCs w:val="24"/>
        </w:rPr>
      </w:pPr>
      <w:r w:rsidRPr="00693AC3">
        <w:rPr>
          <w:rFonts w:ascii="Times New Roman" w:eastAsia="Times New Roman" w:hAnsi="Times New Roman" w:cs="Times New Roman"/>
          <w:b/>
          <w:bCs/>
          <w:i/>
          <w:iCs/>
          <w:sz w:val="24"/>
          <w:szCs w:val="24"/>
        </w:rPr>
        <w:t>Leverage Test</w:t>
      </w:r>
    </w:p>
    <w:p w14:paraId="06FA579A" w14:textId="77777777" w:rsidR="0097717E" w:rsidRDefault="0097717E" w:rsidP="009771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Undine filed a Guaranty Agreement between Undine and Undine’s guarantor, Undine Group, LLC, which states that Undine Group, LLC is capable, available, and willing to cover temporary cash shortages.</w:t>
      </w:r>
      <w:r>
        <w:rPr>
          <w:rStyle w:val="FootnoteReference"/>
          <w:rFonts w:ascii="Times New Roman" w:eastAsia="Times New Roman" w:hAnsi="Times New Roman" w:cs="Times New Roman"/>
          <w:sz w:val="24"/>
          <w:szCs w:val="24"/>
        </w:rPr>
        <w:footnoteReference w:id="1"/>
      </w:r>
    </w:p>
    <w:p w14:paraId="4CFF62DF" w14:textId="77777777" w:rsidR="0097717E" w:rsidRPr="00A36022" w:rsidRDefault="0097717E" w:rsidP="0097717E">
      <w:pPr>
        <w:spacing w:after="120" w:line="360" w:lineRule="auto"/>
        <w:ind w:firstLine="720"/>
        <w:jc w:val="both"/>
        <w:rPr>
          <w:rFonts w:ascii="Times New Roman" w:eastAsia="Times New Roman" w:hAnsi="Times New Roman" w:cs="Times New Roman"/>
          <w:sz w:val="24"/>
          <w:szCs w:val="24"/>
        </w:rPr>
      </w:pPr>
      <w:r w:rsidRPr="00174B7C">
        <w:rPr>
          <w:rFonts w:ascii="Times New Roman" w:eastAsia="Times New Roman" w:hAnsi="Times New Roman" w:cs="Times New Roman"/>
          <w:sz w:val="24"/>
          <w:szCs w:val="24"/>
        </w:rPr>
        <w:t xml:space="preserve">My analysis is based on financial statements ending </w:t>
      </w:r>
      <w:r>
        <w:rPr>
          <w:rFonts w:ascii="Times New Roman" w:eastAsia="Times New Roman" w:hAnsi="Times New Roman" w:cs="Times New Roman"/>
          <w:sz w:val="24"/>
          <w:szCs w:val="24"/>
        </w:rPr>
        <w:t>December 31</w:t>
      </w:r>
      <w:r w:rsidRPr="00174B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2021</w:t>
      </w:r>
      <w:r w:rsidRPr="00174B7C">
        <w:rPr>
          <w:rFonts w:ascii="Times New Roman" w:eastAsia="Times New Roman" w:hAnsi="Times New Roman" w:cs="Times New Roman"/>
          <w:sz w:val="24"/>
          <w:szCs w:val="24"/>
        </w:rPr>
        <w:t xml:space="preserve">.  These financial statements contain an unqualified auditor’s opinion from </w:t>
      </w:r>
      <w:r>
        <w:rPr>
          <w:rFonts w:ascii="Times New Roman" w:eastAsia="Times New Roman" w:hAnsi="Times New Roman" w:cs="Times New Roman"/>
          <w:sz w:val="24"/>
          <w:szCs w:val="24"/>
        </w:rPr>
        <w:t>Plante &amp; Moran, PLLC</w:t>
      </w:r>
      <w:r w:rsidRPr="00174B7C">
        <w:rPr>
          <w:rFonts w:ascii="Times New Roman" w:eastAsia="Times New Roman" w:hAnsi="Times New Roman" w:cs="Times New Roman"/>
          <w:sz w:val="24"/>
          <w:szCs w:val="24"/>
        </w:rPr>
        <w:t xml:space="preserve"> stating that the </w:t>
      </w:r>
      <w:r w:rsidRPr="00174B7C">
        <w:rPr>
          <w:rFonts w:ascii="Times New Roman" w:eastAsia="Times New Roman" w:hAnsi="Times New Roman" w:cs="Times New Roman"/>
          <w:sz w:val="24"/>
          <w:szCs w:val="24"/>
        </w:rPr>
        <w:lastRenderedPageBreak/>
        <w:t xml:space="preserve">financial statements present fairly, in all material respects, the financial position of </w:t>
      </w:r>
      <w:r>
        <w:rPr>
          <w:rFonts w:ascii="Times New Roman" w:eastAsia="Times New Roman" w:hAnsi="Times New Roman" w:cs="Times New Roman"/>
          <w:sz w:val="24"/>
          <w:szCs w:val="24"/>
        </w:rPr>
        <w:t>Undine Group, LLC</w:t>
      </w:r>
      <w:r w:rsidRPr="00174B7C">
        <w:rPr>
          <w:rFonts w:ascii="Times New Roman" w:eastAsia="Times New Roman" w:hAnsi="Times New Roman" w:cs="Times New Roman"/>
          <w:sz w:val="24"/>
          <w:szCs w:val="24"/>
        </w:rPr>
        <w:t xml:space="preserve"> as of </w:t>
      </w:r>
      <w:r w:rsidRPr="00A36022">
        <w:rPr>
          <w:rFonts w:ascii="Times New Roman" w:eastAsia="Times New Roman" w:hAnsi="Times New Roman" w:cs="Times New Roman"/>
          <w:sz w:val="24"/>
          <w:szCs w:val="24"/>
        </w:rPr>
        <w:t xml:space="preserve">December 31, </w:t>
      </w:r>
      <w:r>
        <w:rPr>
          <w:rFonts w:ascii="Times New Roman" w:eastAsia="Times New Roman" w:hAnsi="Times New Roman" w:cs="Times New Roman"/>
          <w:sz w:val="24"/>
          <w:szCs w:val="24"/>
        </w:rPr>
        <w:t>2021</w:t>
      </w:r>
      <w:r w:rsidRPr="00A36022">
        <w:rPr>
          <w:rFonts w:ascii="Times New Roman" w:eastAsia="Times New Roman" w:hAnsi="Times New Roman" w:cs="Times New Roman"/>
          <w:sz w:val="24"/>
          <w:szCs w:val="24"/>
        </w:rPr>
        <w:t>.</w:t>
      </w:r>
      <w:r w:rsidRPr="00A36022">
        <w:rPr>
          <w:rStyle w:val="FootnoteReference"/>
          <w:rFonts w:ascii="Times New Roman" w:eastAsia="Times New Roman" w:hAnsi="Times New Roman" w:cs="Times New Roman"/>
          <w:sz w:val="24"/>
          <w:szCs w:val="24"/>
        </w:rPr>
        <w:footnoteReference w:id="2"/>
      </w:r>
    </w:p>
    <w:p w14:paraId="7C80DA20" w14:textId="77777777" w:rsidR="0097717E" w:rsidRPr="00B16545" w:rsidRDefault="0097717E" w:rsidP="0097717E">
      <w:pPr>
        <w:widowControl w:val="0"/>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Pr>
          <w:rFonts w:ascii="Times New Roman" w:eastAsia="Times New Roman" w:hAnsi="Times New Roman" w:cs="Times New Roman"/>
          <w:sz w:val="24"/>
          <w:szCs w:val="24"/>
        </w:rPr>
        <w:t xml:space="preserve"> of Undine Group, LLC,</w:t>
      </w:r>
      <w:r w:rsidRPr="00A36022">
        <w:rPr>
          <w:rFonts w:ascii="Times New Roman" w:eastAsia="Times New Roman" w:hAnsi="Times New Roman" w:cs="Times New Roman"/>
          <w:sz w:val="24"/>
          <w:szCs w:val="24"/>
        </w:rPr>
        <w:t xml:space="preserve"> I calculate the debt-to-equity ratio equal to 0.</w:t>
      </w:r>
      <w:r>
        <w:rPr>
          <w:rFonts w:ascii="Times New Roman" w:eastAsia="Times New Roman" w:hAnsi="Times New Roman" w:cs="Times New Roman"/>
          <w:sz w:val="24"/>
          <w:szCs w:val="24"/>
        </w:rPr>
        <w:t>46</w:t>
      </w:r>
      <w:r w:rsidRPr="00A36022">
        <w:rPr>
          <w:rFonts w:ascii="Times New Roman" w:eastAsia="Times New Roman" w:hAnsi="Times New Roman" w:cs="Times New Roman"/>
          <w:sz w:val="24"/>
          <w:szCs w:val="24"/>
        </w:rPr>
        <w:t>.</w:t>
      </w:r>
      <w:r w:rsidRPr="00A36022">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less than </w:t>
      </w:r>
      <w:r>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I recommend a finding that Undine </w:t>
      </w:r>
      <w:r>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1" w:name="_Hlk59192949"/>
      <w:r w:rsidRPr="00A36022">
        <w:rPr>
          <w:rFonts w:ascii="Times New Roman" w:eastAsia="Times New Roman" w:hAnsi="Times New Roman" w:cs="Times New Roman"/>
          <w:sz w:val="24"/>
          <w:szCs w:val="24"/>
        </w:rPr>
        <w:t>§ 24.11(e)(2)(A).</w:t>
      </w:r>
      <w:bookmarkEnd w:id="1"/>
      <w:r w:rsidRPr="00156FAF">
        <w:t xml:space="preserve"> </w:t>
      </w:r>
      <w:r w:rsidRPr="00156FAF">
        <w:rPr>
          <w:rFonts w:ascii="Times New Roman" w:eastAsia="Times New Roman" w:hAnsi="Times New Roman" w:cs="Times New Roman"/>
          <w:sz w:val="24"/>
          <w:szCs w:val="24"/>
        </w:rPr>
        <w:t xml:space="preserve">Therefore, I recommend a finding that—through </w:t>
      </w:r>
      <w:r>
        <w:rPr>
          <w:rFonts w:ascii="Times New Roman" w:eastAsia="Times New Roman" w:hAnsi="Times New Roman" w:cs="Times New Roman"/>
          <w:sz w:val="24"/>
          <w:szCs w:val="24"/>
        </w:rPr>
        <w:t>their</w:t>
      </w:r>
      <w:r w:rsidRPr="00156FAF">
        <w:rPr>
          <w:rFonts w:ascii="Times New Roman" w:eastAsia="Times New Roman" w:hAnsi="Times New Roman" w:cs="Times New Roman"/>
          <w:sz w:val="24"/>
          <w:szCs w:val="24"/>
        </w:rPr>
        <w:t xml:space="preserve"> affiliate—</w:t>
      </w:r>
      <w:r>
        <w:rPr>
          <w:rFonts w:ascii="Times New Roman" w:eastAsia="Times New Roman" w:hAnsi="Times New Roman" w:cs="Times New Roman"/>
          <w:sz w:val="24"/>
          <w:szCs w:val="24"/>
        </w:rPr>
        <w:t>Undine</w:t>
      </w:r>
      <w:r w:rsidRPr="00156FAF">
        <w:rPr>
          <w:rFonts w:ascii="Times New Roman" w:eastAsia="Times New Roman" w:hAnsi="Times New Roman" w:cs="Times New Roman"/>
          <w:sz w:val="24"/>
          <w:szCs w:val="24"/>
        </w:rPr>
        <w:t xml:space="preserve"> meets the leverage test as specified in 16 TAC § 24.11(e)(2)(E).</w:t>
      </w:r>
      <w:r>
        <w:rPr>
          <w:rFonts w:ascii="Times New Roman" w:eastAsia="Times New Roman" w:hAnsi="Times New Roman" w:cs="Times New Roman"/>
          <w:sz w:val="24"/>
          <w:szCs w:val="24"/>
        </w:rPr>
        <w:t xml:space="preserve"> </w:t>
      </w:r>
    </w:p>
    <w:p w14:paraId="763D0B03" w14:textId="77777777" w:rsidR="0097717E" w:rsidRPr="00505F11" w:rsidRDefault="0097717E" w:rsidP="0097717E">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Operations Test</w:t>
      </w:r>
    </w:p>
    <w:p w14:paraId="1EDC6901" w14:textId="77777777" w:rsidR="0097717E" w:rsidRPr="00324F2F" w:rsidRDefault="0097717E" w:rsidP="0097717E">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Pr>
          <w:rFonts w:ascii="Times New Roman" w:eastAsia="Times New Roman" w:hAnsi="Times New Roman" w:cs="Times New Roman"/>
          <w:sz w:val="24"/>
          <w:szCs w:val="24"/>
        </w:rPr>
        <w:t>; or a</w:t>
      </w:r>
      <w:r w:rsidRPr="003D0026">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affiliated interest may provide a written guaranty of coverage of temporary cash shortages if the affiliated interest </w:t>
      </w:r>
      <w:r w:rsidRPr="00324F2F">
        <w:rPr>
          <w:rFonts w:ascii="Times New Roman" w:eastAsia="Times New Roman" w:hAnsi="Times New Roman" w:cs="Times New Roman"/>
          <w:sz w:val="24"/>
          <w:szCs w:val="24"/>
        </w:rPr>
        <w:t>also satisfies the leverage test, as required by 16 TAC § 24.11(e)(3).</w:t>
      </w:r>
    </w:p>
    <w:p w14:paraId="08B50908" w14:textId="77777777" w:rsidR="0097717E" w:rsidRPr="004037C0" w:rsidRDefault="0097717E" w:rsidP="0097717E">
      <w:pPr>
        <w:widowControl w:val="0"/>
        <w:spacing w:after="120" w:line="360" w:lineRule="auto"/>
        <w:ind w:firstLine="720"/>
        <w:jc w:val="both"/>
        <w:rPr>
          <w:rFonts w:ascii="Times New Roman" w:eastAsia="Times New Roman" w:hAnsi="Times New Roman" w:cs="Times New Roman"/>
          <w:sz w:val="24"/>
          <w:szCs w:val="24"/>
        </w:rPr>
      </w:pPr>
      <w:r w:rsidRPr="00324F2F">
        <w:rPr>
          <w:rFonts w:ascii="Times New Roman" w:eastAsia="Times New Roman" w:hAnsi="Times New Roman" w:cs="Times New Roman"/>
          <w:sz w:val="24"/>
          <w:szCs w:val="24"/>
        </w:rPr>
        <w:t>Undine projects</w:t>
      </w:r>
      <w:r>
        <w:rPr>
          <w:rFonts w:ascii="Times New Roman" w:eastAsia="Times New Roman" w:hAnsi="Times New Roman" w:cs="Times New Roman"/>
          <w:sz w:val="24"/>
          <w:szCs w:val="24"/>
        </w:rPr>
        <w:t xml:space="preserve"> operating cash shortages in the first projected year of operations, however this cash shortage is exceeded by Undine’s available cash.</w:t>
      </w:r>
      <w:r>
        <w:rPr>
          <w:rStyle w:val="FootnoteReference"/>
          <w:rFonts w:ascii="Times New Roman" w:eastAsia="Times New Roman" w:hAnsi="Times New Roman" w:cs="Times New Roman"/>
          <w:sz w:val="24"/>
          <w:szCs w:val="24"/>
        </w:rPr>
        <w:footnoteReference w:id="4"/>
      </w:r>
      <w:r w:rsidRPr="00324F2F">
        <w:rPr>
          <w:rFonts w:ascii="Times New Roman" w:eastAsia="Times New Roman" w:hAnsi="Times New Roman" w:cs="Times New Roman"/>
          <w:sz w:val="24"/>
          <w:szCs w:val="24"/>
        </w:rPr>
        <w:t xml:space="preserve"> Therefore, I recommend a finding that Undine meets the operations test specified in 16 TAC § 24.11</w:t>
      </w:r>
      <w:r w:rsidRPr="004037C0">
        <w:rPr>
          <w:rFonts w:ascii="Times New Roman" w:eastAsia="Times New Roman" w:hAnsi="Times New Roman" w:cs="Times New Roman"/>
          <w:sz w:val="24"/>
          <w:szCs w:val="24"/>
        </w:rPr>
        <w:t>(e)(3).</w:t>
      </w:r>
    </w:p>
    <w:p w14:paraId="24283E31" w14:textId="77777777" w:rsidR="0097717E" w:rsidRDefault="0097717E" w:rsidP="0097717E">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 and Purchase Price</w:t>
      </w:r>
    </w:p>
    <w:p w14:paraId="36E69FD0" w14:textId="77777777" w:rsidR="0097717E" w:rsidRPr="002218F7" w:rsidRDefault="0097717E" w:rsidP="0097717E">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w:t>
      </w:r>
      <w:r>
        <w:rPr>
          <w:rFonts w:ascii="Times New Roman" w:eastAsia="Times New Roman" w:hAnsi="Times New Roman" w:cs="Times New Roman"/>
          <w:sz w:val="24"/>
          <w:szCs w:val="24"/>
        </w:rPr>
        <w:t>A</w:t>
      </w:r>
      <w:r w:rsidRPr="002218F7">
        <w:rPr>
          <w:rFonts w:ascii="Times New Roman" w:eastAsia="Times New Roman" w:hAnsi="Times New Roman" w:cs="Times New Roman"/>
          <w:sz w:val="24"/>
          <w:szCs w:val="24"/>
        </w:rPr>
        <w:t>).</w:t>
      </w:r>
    </w:p>
    <w:p w14:paraId="488DC960" w14:textId="19AB4D79" w:rsidR="0097717E" w:rsidRDefault="0097717E" w:rsidP="0097717E">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The applicant has filed documentation demonstrating</w:t>
      </w:r>
      <w:r>
        <w:rPr>
          <w:rFonts w:ascii="Times New Roman" w:eastAsia="Times New Roman" w:hAnsi="Times New Roman" w:cs="Times New Roman"/>
          <w:sz w:val="24"/>
          <w:szCs w:val="24"/>
        </w:rPr>
        <w:t xml:space="preserve"> adequate funding of the planned system improvements for the Orbit </w:t>
      </w:r>
      <w:r w:rsidR="00B0720B">
        <w:rPr>
          <w:rFonts w:ascii="Times New Roman" w:eastAsia="Times New Roman" w:hAnsi="Times New Roman" w:cs="Times New Roman"/>
          <w:sz w:val="24"/>
          <w:szCs w:val="24"/>
        </w:rPr>
        <w:t>sewer</w:t>
      </w:r>
      <w:r>
        <w:rPr>
          <w:rFonts w:ascii="Times New Roman" w:eastAsia="Times New Roman" w:hAnsi="Times New Roman" w:cs="Times New Roman"/>
          <w:sz w:val="24"/>
          <w:szCs w:val="24"/>
        </w:rPr>
        <w:t xml:space="preserve"> system alongside all of Undine’s other planned system improvement this year.</w:t>
      </w:r>
      <w:r w:rsidRPr="002218F7">
        <w:rPr>
          <w:rStyle w:val="FootnoteReference"/>
          <w:rFonts w:ascii="Times New Roman" w:eastAsia="Times New Roman" w:hAnsi="Times New Roman" w:cs="Times New Roman"/>
          <w:sz w:val="24"/>
          <w:szCs w:val="24"/>
        </w:rPr>
        <w:footnoteReference w:id="5"/>
      </w:r>
      <w:r w:rsidRPr="002218F7">
        <w:rPr>
          <w:rFonts w:ascii="Times New Roman" w:eastAsia="Times New Roman" w:hAnsi="Times New Roman" w:cs="Times New Roman"/>
          <w:sz w:val="24"/>
          <w:szCs w:val="24"/>
        </w:rPr>
        <w:t xml:space="preserve"> Therefore, I recommend a finding that </w:t>
      </w:r>
      <w:r>
        <w:rPr>
          <w:rFonts w:ascii="Times New Roman" w:eastAsia="Times New Roman" w:hAnsi="Times New Roman" w:cs="Times New Roman"/>
          <w:sz w:val="24"/>
          <w:szCs w:val="24"/>
        </w:rPr>
        <w:t>Undine</w:t>
      </w:r>
      <w:r w:rsidRPr="002218F7">
        <w:rPr>
          <w:rFonts w:ascii="Times New Roman" w:eastAsia="Times New Roman" w:hAnsi="Times New Roman" w:cs="Times New Roman"/>
          <w:sz w:val="24"/>
          <w:szCs w:val="24"/>
        </w:rPr>
        <w:t xml:space="preserve"> satisfies the requirements of 16 TAC § 24.11(e)(5)(</w:t>
      </w:r>
      <w:r>
        <w:rPr>
          <w:rFonts w:ascii="Times New Roman" w:eastAsia="Times New Roman" w:hAnsi="Times New Roman" w:cs="Times New Roman"/>
          <w:sz w:val="24"/>
          <w:szCs w:val="24"/>
        </w:rPr>
        <w:t>A</w:t>
      </w:r>
      <w:r w:rsidRPr="002218F7">
        <w:rPr>
          <w:rFonts w:ascii="Times New Roman" w:eastAsia="Times New Roman" w:hAnsi="Times New Roman" w:cs="Times New Roman"/>
          <w:sz w:val="24"/>
          <w:szCs w:val="24"/>
        </w:rPr>
        <w:t>).</w:t>
      </w:r>
    </w:p>
    <w:p w14:paraId="0273476A" w14:textId="77777777" w:rsidR="0097717E" w:rsidRPr="00505F11" w:rsidRDefault="0097717E" w:rsidP="0097717E">
      <w:pPr>
        <w:keepNext/>
        <w:spacing w:after="120" w:line="360" w:lineRule="auto"/>
        <w:jc w:val="both"/>
        <w:rPr>
          <w:rFonts w:ascii="Times New Roman" w:eastAsia="Times New Roman" w:hAnsi="Times New Roman" w:cs="Times New Roman"/>
          <w:b/>
          <w:bCs/>
          <w:i/>
          <w:iCs/>
          <w:sz w:val="24"/>
          <w:szCs w:val="24"/>
        </w:rPr>
      </w:pPr>
      <w:r w:rsidRPr="00505F11">
        <w:rPr>
          <w:rFonts w:ascii="Times New Roman" w:eastAsia="Times New Roman" w:hAnsi="Times New Roman" w:cs="Times New Roman"/>
          <w:b/>
          <w:bCs/>
          <w:i/>
          <w:iCs/>
          <w:sz w:val="24"/>
          <w:szCs w:val="24"/>
        </w:rPr>
        <w:t>Recommendation</w:t>
      </w:r>
    </w:p>
    <w:p w14:paraId="1B875153" w14:textId="77777777" w:rsidR="0097717E" w:rsidRPr="004037C0" w:rsidRDefault="0097717E" w:rsidP="0097717E">
      <w:pPr>
        <w:keepNext/>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financial tests, I do not recommend that the Commission require additional financial assurance.</w:t>
      </w:r>
    </w:p>
    <w:p w14:paraId="7ABE52B6" w14:textId="41FCBFC1" w:rsidR="00C74679" w:rsidRPr="00376E5F" w:rsidRDefault="0097717E" w:rsidP="0097717E">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I recommend a finding that </w:t>
      </w:r>
      <w:r>
        <w:rPr>
          <w:rFonts w:ascii="Times New Roman" w:hAnsi="Times New Roman" w:cs="Times New Roman"/>
          <w:sz w:val="24"/>
          <w:szCs w:val="24"/>
        </w:rPr>
        <w:t xml:space="preserve">Undine </w:t>
      </w:r>
      <w:r w:rsidRPr="004037C0">
        <w:rPr>
          <w:rFonts w:ascii="Times New Roman" w:hAnsi="Times New Roman" w:cs="Times New Roman"/>
          <w:sz w:val="24"/>
          <w:szCs w:val="24"/>
        </w:rPr>
        <w:t>demonstrates the financial and managerial capability needed to provide continuous</w:t>
      </w:r>
      <w:r w:rsidRPr="00372923">
        <w:rPr>
          <w:rFonts w:ascii="Times New Roman" w:hAnsi="Times New Roman" w:cs="Times New Roman"/>
          <w:sz w:val="24"/>
          <w:szCs w:val="24"/>
        </w:rPr>
        <w:t xml:space="preserve"> and adequate service to the area subject to this application.  My conclusions are based on information provided by </w:t>
      </w:r>
      <w:r>
        <w:rPr>
          <w:rFonts w:ascii="Times New Roman" w:hAnsi="Times New Roman" w:cs="Times New Roman"/>
          <w:sz w:val="24"/>
          <w:szCs w:val="24"/>
        </w:rPr>
        <w:t>Undine</w:t>
      </w:r>
      <w:r w:rsidRPr="00372923">
        <w:rPr>
          <w:rFonts w:ascii="Times New Roman" w:hAnsi="Times New Roman" w:cs="Times New Roman"/>
          <w:sz w:val="24"/>
          <w:szCs w:val="24"/>
        </w:rPr>
        <w:t xml:space="preserve"> before the date of this memorandum and may not reflect any changes in </w:t>
      </w:r>
      <w:r>
        <w:rPr>
          <w:rFonts w:ascii="Times New Roman" w:hAnsi="Times New Roman" w:cs="Times New Roman"/>
          <w:sz w:val="24"/>
          <w:szCs w:val="24"/>
        </w:rPr>
        <w:t>Undine</w:t>
      </w:r>
      <w:r w:rsidRPr="00372923">
        <w:rPr>
          <w:rFonts w:ascii="Times New Roman" w:hAnsi="Times New Roman" w:cs="Times New Roman"/>
          <w:sz w:val="24"/>
          <w:szCs w:val="24"/>
        </w:rPr>
        <w:t>’s status after this review.</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AAE7" w14:textId="77777777" w:rsidR="00A97748" w:rsidRDefault="00A97748" w:rsidP="003E3FA5">
      <w:pPr>
        <w:spacing w:after="0" w:line="240" w:lineRule="auto"/>
      </w:pPr>
      <w:r>
        <w:separator/>
      </w:r>
    </w:p>
  </w:endnote>
  <w:endnote w:type="continuationSeparator" w:id="0">
    <w:p w14:paraId="002FF670" w14:textId="77777777" w:rsidR="00A97748" w:rsidRDefault="00A97748"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7971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7971C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C84F" w14:textId="77777777" w:rsidR="00A97748" w:rsidRDefault="00A97748" w:rsidP="003E3FA5">
      <w:pPr>
        <w:spacing w:after="0" w:line="240" w:lineRule="auto"/>
      </w:pPr>
      <w:r>
        <w:separator/>
      </w:r>
    </w:p>
  </w:footnote>
  <w:footnote w:type="continuationSeparator" w:id="0">
    <w:p w14:paraId="6058E7C4" w14:textId="77777777" w:rsidR="00A97748" w:rsidRDefault="00A97748" w:rsidP="003E3FA5">
      <w:pPr>
        <w:spacing w:after="0" w:line="240" w:lineRule="auto"/>
      </w:pPr>
      <w:r>
        <w:continuationSeparator/>
      </w:r>
    </w:p>
  </w:footnote>
  <w:footnote w:id="1">
    <w:p w14:paraId="26416297" w14:textId="2F29B91C" w:rsidR="0097717E" w:rsidRDefault="0097717E" w:rsidP="0097717E">
      <w:pPr>
        <w:pStyle w:val="FootnoteText"/>
        <w:spacing w:after="120"/>
        <w:ind w:firstLine="720"/>
        <w:jc w:val="both"/>
      </w:pPr>
      <w:r>
        <w:rPr>
          <w:rStyle w:val="FootnoteReference"/>
        </w:rPr>
        <w:footnoteRef/>
      </w:r>
      <w:r>
        <w:t xml:space="preserve">  </w:t>
      </w:r>
      <w:r w:rsidRPr="00E80D40">
        <w:t xml:space="preserve">Application, </w:t>
      </w:r>
      <w:r w:rsidRPr="006F1FAF">
        <w:rPr>
          <w:i/>
          <w:iCs/>
        </w:rPr>
        <w:t>Confidential Exhibit A</w:t>
      </w:r>
      <w:r w:rsidRPr="00E80D40">
        <w:t xml:space="preserve">, item no. </w:t>
      </w:r>
      <w:r>
        <w:t>24</w:t>
      </w:r>
      <w:r w:rsidRPr="00E80D40">
        <w:t xml:space="preserve">, at bates 37 (Sep. </w:t>
      </w:r>
      <w:r>
        <w:t>21</w:t>
      </w:r>
      <w:r w:rsidRPr="00E80D40">
        <w:t>, 2022).</w:t>
      </w:r>
    </w:p>
  </w:footnote>
  <w:footnote w:id="2">
    <w:p w14:paraId="356FFE71" w14:textId="77777777" w:rsidR="0097717E" w:rsidRPr="000829AF" w:rsidRDefault="0097717E" w:rsidP="0097717E">
      <w:pPr>
        <w:pStyle w:val="FootnoteText"/>
        <w:spacing w:after="120"/>
        <w:ind w:firstLine="720"/>
        <w:jc w:val="both"/>
      </w:pPr>
      <w:r>
        <w:rPr>
          <w:rStyle w:val="FootnoteReference"/>
        </w:rPr>
        <w:footnoteRef/>
      </w:r>
      <w:r>
        <w:t xml:space="preserve">  </w:t>
      </w:r>
      <w:r>
        <w:rPr>
          <w:i/>
          <w:iCs/>
        </w:rPr>
        <w:t>Id.</w:t>
      </w:r>
      <w:r>
        <w:t>, at 6.</w:t>
      </w:r>
    </w:p>
  </w:footnote>
  <w:footnote w:id="3">
    <w:p w14:paraId="248108BF" w14:textId="77777777" w:rsidR="0097717E" w:rsidRPr="00E80D40" w:rsidRDefault="0097717E" w:rsidP="0097717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4">
    <w:p w14:paraId="05395D1C" w14:textId="77777777" w:rsidR="0097717E" w:rsidRPr="00E80D40" w:rsidRDefault="0097717E" w:rsidP="0097717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5">
    <w:p w14:paraId="04B5A6DC" w14:textId="77777777" w:rsidR="0097717E" w:rsidRPr="00FB23E6" w:rsidRDefault="0097717E" w:rsidP="0097717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3A2137B6" w:rsidR="00195A79" w:rsidRPr="002E015F" w:rsidRDefault="00363697" w:rsidP="0099083B">
    <w:pPr>
      <w:pStyle w:val="Header"/>
      <w:spacing w:after="240"/>
      <w:jc w:val="right"/>
      <w:rPr>
        <w:b/>
      </w:rPr>
    </w:pPr>
    <w:r w:rsidRPr="002E015F">
      <w:rPr>
        <w:b/>
      </w:rPr>
      <w:t xml:space="preserve">Docket No. </w:t>
    </w:r>
    <w:r w:rsidR="00B1474B">
      <w:rPr>
        <w:b/>
      </w:rPr>
      <w:t>53630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0652"/>
    <w:rsid w:val="000654D3"/>
    <w:rsid w:val="000704E9"/>
    <w:rsid w:val="000829AF"/>
    <w:rsid w:val="0009457B"/>
    <w:rsid w:val="001102DB"/>
    <w:rsid w:val="0013261C"/>
    <w:rsid w:val="00133D92"/>
    <w:rsid w:val="00147CE5"/>
    <w:rsid w:val="00156FAF"/>
    <w:rsid w:val="00174B7C"/>
    <w:rsid w:val="001A1026"/>
    <w:rsid w:val="002149AE"/>
    <w:rsid w:val="00256BA8"/>
    <w:rsid w:val="00267B90"/>
    <w:rsid w:val="00284379"/>
    <w:rsid w:val="002B55D4"/>
    <w:rsid w:val="002D14B4"/>
    <w:rsid w:val="003521B1"/>
    <w:rsid w:val="00363697"/>
    <w:rsid w:val="00372923"/>
    <w:rsid w:val="00376E5F"/>
    <w:rsid w:val="003829B2"/>
    <w:rsid w:val="003C1F2C"/>
    <w:rsid w:val="003D0026"/>
    <w:rsid w:val="003E3FA5"/>
    <w:rsid w:val="004037C0"/>
    <w:rsid w:val="004412BD"/>
    <w:rsid w:val="00446D9B"/>
    <w:rsid w:val="00455C93"/>
    <w:rsid w:val="00464080"/>
    <w:rsid w:val="00495DA2"/>
    <w:rsid w:val="004F74DF"/>
    <w:rsid w:val="00507470"/>
    <w:rsid w:val="00512787"/>
    <w:rsid w:val="00533AB6"/>
    <w:rsid w:val="00591472"/>
    <w:rsid w:val="005C50C8"/>
    <w:rsid w:val="005E707D"/>
    <w:rsid w:val="005F3080"/>
    <w:rsid w:val="005F448C"/>
    <w:rsid w:val="00605262"/>
    <w:rsid w:val="00607086"/>
    <w:rsid w:val="0063274E"/>
    <w:rsid w:val="00635BC4"/>
    <w:rsid w:val="00636D72"/>
    <w:rsid w:val="00660C9F"/>
    <w:rsid w:val="0066136C"/>
    <w:rsid w:val="00677BA9"/>
    <w:rsid w:val="006B6D0E"/>
    <w:rsid w:val="006F5466"/>
    <w:rsid w:val="007700A2"/>
    <w:rsid w:val="00792257"/>
    <w:rsid w:val="007971C8"/>
    <w:rsid w:val="007B24DC"/>
    <w:rsid w:val="007D0A6F"/>
    <w:rsid w:val="00814451"/>
    <w:rsid w:val="00816F11"/>
    <w:rsid w:val="00852485"/>
    <w:rsid w:val="00852F19"/>
    <w:rsid w:val="00891293"/>
    <w:rsid w:val="008D2981"/>
    <w:rsid w:val="00902CAA"/>
    <w:rsid w:val="00961A50"/>
    <w:rsid w:val="00973928"/>
    <w:rsid w:val="0097717E"/>
    <w:rsid w:val="009D31F7"/>
    <w:rsid w:val="00A173E8"/>
    <w:rsid w:val="00A36022"/>
    <w:rsid w:val="00A42084"/>
    <w:rsid w:val="00A967C8"/>
    <w:rsid w:val="00A97748"/>
    <w:rsid w:val="00AE4987"/>
    <w:rsid w:val="00B0720B"/>
    <w:rsid w:val="00B078F0"/>
    <w:rsid w:val="00B1474B"/>
    <w:rsid w:val="00B16545"/>
    <w:rsid w:val="00B44970"/>
    <w:rsid w:val="00B52332"/>
    <w:rsid w:val="00B80625"/>
    <w:rsid w:val="00B87DF2"/>
    <w:rsid w:val="00BA5465"/>
    <w:rsid w:val="00BF176F"/>
    <w:rsid w:val="00C011C1"/>
    <w:rsid w:val="00C0242A"/>
    <w:rsid w:val="00C52ABD"/>
    <w:rsid w:val="00C74679"/>
    <w:rsid w:val="00CE506F"/>
    <w:rsid w:val="00CE7231"/>
    <w:rsid w:val="00CE7944"/>
    <w:rsid w:val="00CF1DAB"/>
    <w:rsid w:val="00D21315"/>
    <w:rsid w:val="00D52DC0"/>
    <w:rsid w:val="00D6315B"/>
    <w:rsid w:val="00D73FFD"/>
    <w:rsid w:val="00D9105A"/>
    <w:rsid w:val="00E054DD"/>
    <w:rsid w:val="00E323E1"/>
    <w:rsid w:val="00E679AE"/>
    <w:rsid w:val="00EC50BC"/>
    <w:rsid w:val="00EE489A"/>
    <w:rsid w:val="00EF16C0"/>
    <w:rsid w:val="00EF2CA2"/>
    <w:rsid w:val="00F21E89"/>
    <w:rsid w:val="00F40C0B"/>
    <w:rsid w:val="00F554E5"/>
    <w:rsid w:val="00F64E57"/>
    <w:rsid w:val="00F65A84"/>
    <w:rsid w:val="00F81C5D"/>
    <w:rsid w:val="00F94CEA"/>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 w:type="paragraph" w:styleId="Revision">
    <w:name w:val="Revision"/>
    <w:hidden/>
    <w:uiPriority w:val="99"/>
    <w:semiHidden/>
    <w:rsid w:val="009D3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3187</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2023-04-19T21:18:00Z</dcterms:created>
  <dcterms:modified xsi:type="dcterms:W3CDTF">2023-04-19T21:18:00Z</dcterms:modified>
</cp:coreProperties>
</file>